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Default="00345941" w:rsidP="006C78DB">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 xml:space="preserve">уки Российской </w:t>
      </w:r>
      <w:r w:rsidR="008E1438">
        <w:rPr>
          <w:rFonts w:ascii="Times New Roman" w:hAnsi="Times New Roman" w:cs="Times New Roman"/>
          <w:b/>
          <w:sz w:val="24"/>
          <w:szCs w:val="24"/>
        </w:rPr>
        <w:t>Федерации муниципального общеобразовательного учреждения дополнительного образования центра детского творчества «Витязь»</w:t>
      </w:r>
    </w:p>
    <w:p w:rsidR="006C78DB" w:rsidRPr="009C1D79" w:rsidRDefault="006C78DB" w:rsidP="006C78DB">
      <w:pPr>
        <w:spacing w:after="0" w:line="240" w:lineRule="auto"/>
        <w:jc w:val="center"/>
        <w:rPr>
          <w:rFonts w:ascii="Times New Roman" w:hAnsi="Times New Roman" w:cs="Times New Roman"/>
          <w:b/>
          <w:sz w:val="24"/>
          <w:szCs w:val="24"/>
        </w:rPr>
      </w:pPr>
    </w:p>
    <w:p w:rsidR="002B32CD" w:rsidRDefault="00345941" w:rsidP="002B32CD">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2B32CD" w:rsidRDefault="002B32CD" w:rsidP="002B32CD">
      <w:pPr>
        <w:spacing w:after="0" w:line="240" w:lineRule="auto"/>
        <w:ind w:left="709"/>
        <w:jc w:val="both"/>
        <w:rPr>
          <w:rFonts w:ascii="Times New Roman" w:hAnsi="Times New Roman" w:cs="Times New Roman"/>
          <w:sz w:val="24"/>
        </w:rPr>
      </w:pPr>
      <w:r w:rsidRPr="002B32CD">
        <w:rPr>
          <w:rFonts w:ascii="Times New Roman" w:hAnsi="Times New Roman" w:cs="Times New Roman"/>
          <w:sz w:val="24"/>
          <w:szCs w:val="24"/>
        </w:rPr>
        <w:t>1.1.</w:t>
      </w:r>
      <w:r>
        <w:rPr>
          <w:rFonts w:ascii="Times New Roman" w:hAnsi="Times New Roman" w:cs="Times New Roman"/>
          <w:b/>
          <w:sz w:val="24"/>
          <w:szCs w:val="24"/>
        </w:rPr>
        <w:t xml:space="preserve"> </w:t>
      </w:r>
      <w:r w:rsidR="00345941" w:rsidRPr="002B32CD">
        <w:rPr>
          <w:rFonts w:ascii="Times New Roman" w:hAnsi="Times New Roman" w:cs="Times New Roman"/>
          <w:sz w:val="24"/>
        </w:rPr>
        <w:t>Регламент профсоюзного комитета первично</w:t>
      </w:r>
      <w:r>
        <w:rPr>
          <w:rFonts w:ascii="Times New Roman" w:hAnsi="Times New Roman" w:cs="Times New Roman"/>
          <w:sz w:val="24"/>
        </w:rPr>
        <w:t>й организации</w:t>
      </w:r>
    </w:p>
    <w:p w:rsidR="002B32CD" w:rsidRPr="002B32CD" w:rsidRDefault="002B32CD" w:rsidP="002B32CD">
      <w:pPr>
        <w:spacing w:after="0" w:line="240" w:lineRule="auto"/>
        <w:jc w:val="both"/>
        <w:rPr>
          <w:rFonts w:ascii="Times New Roman" w:hAnsi="Times New Roman" w:cs="Times New Roman"/>
          <w:b/>
          <w:sz w:val="24"/>
          <w:szCs w:val="24"/>
        </w:rPr>
      </w:pPr>
      <w:r w:rsidRPr="002B32CD">
        <w:rPr>
          <w:rFonts w:ascii="Times New Roman" w:hAnsi="Times New Roman" w:cs="Times New Roman"/>
          <w:sz w:val="24"/>
        </w:rPr>
        <w:t>Профессионального</w:t>
      </w:r>
      <w:r>
        <w:rPr>
          <w:rFonts w:ascii="Times New Roman" w:hAnsi="Times New Roman" w:cs="Times New Roman"/>
          <w:sz w:val="24"/>
        </w:rPr>
        <w:t xml:space="preserve"> </w:t>
      </w:r>
      <w:r w:rsidR="00345941" w:rsidRPr="002B32CD">
        <w:rPr>
          <w:rFonts w:ascii="Times New Roman" w:hAnsi="Times New Roman" w:cs="Times New Roman"/>
          <w:sz w:val="24"/>
          <w:szCs w:val="24"/>
        </w:rPr>
        <w:t>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8B6C5E" w:rsidRPr="002B32CD">
        <w:rPr>
          <w:rFonts w:ascii="Times New Roman" w:hAnsi="Times New Roman" w:cs="Times New Roman"/>
          <w:sz w:val="24"/>
          <w:szCs w:val="24"/>
        </w:rPr>
        <w:t xml:space="preserve"> муниципального общеобразовательного учреждения дополнительного образования центра детского творчества «Витязь»</w:t>
      </w:r>
      <w:r w:rsidR="00555890" w:rsidRPr="002B32CD">
        <w:rPr>
          <w:rFonts w:ascii="Times New Roman" w:hAnsi="Times New Roman" w:cs="Times New Roman"/>
          <w:sz w:val="24"/>
          <w:szCs w:val="24"/>
        </w:rPr>
        <w:t xml:space="preserve"> (дале</w:t>
      </w:r>
      <w:proofErr w:type="gramStart"/>
      <w:r w:rsidR="00555890" w:rsidRPr="002B32CD">
        <w:rPr>
          <w:rFonts w:ascii="Times New Roman" w:hAnsi="Times New Roman" w:cs="Times New Roman"/>
          <w:sz w:val="24"/>
          <w:szCs w:val="24"/>
        </w:rPr>
        <w:t>е-</w:t>
      </w:r>
      <w:proofErr w:type="gramEnd"/>
      <w:r w:rsidR="00555890" w:rsidRPr="002B32CD">
        <w:rPr>
          <w:rFonts w:ascii="Times New Roman" w:hAnsi="Times New Roman" w:cs="Times New Roman"/>
          <w:sz w:val="24"/>
          <w:szCs w:val="24"/>
        </w:rPr>
        <w:t xml:space="preserve"> </w:t>
      </w:r>
      <w:r w:rsidR="008B6C5E" w:rsidRPr="002B32CD">
        <w:rPr>
          <w:rFonts w:ascii="Times New Roman" w:hAnsi="Times New Roman" w:cs="Times New Roman"/>
          <w:sz w:val="24"/>
          <w:szCs w:val="24"/>
        </w:rPr>
        <w:t>МОУ ДО ЦДТ «Витязь»</w:t>
      </w:r>
      <w:r w:rsidR="00555890" w:rsidRPr="002B32CD">
        <w:rPr>
          <w:rFonts w:ascii="Times New Roman" w:hAnsi="Times New Roman" w:cs="Times New Roman"/>
          <w:sz w:val="24"/>
          <w:szCs w:val="24"/>
        </w:rPr>
        <w:t>)</w:t>
      </w:r>
      <w:r w:rsidR="008B6C5E" w:rsidRPr="002B32CD">
        <w:rPr>
          <w:rFonts w:ascii="Times New Roman" w:hAnsi="Times New Roman" w:cs="Times New Roman"/>
          <w:sz w:val="24"/>
          <w:szCs w:val="24"/>
        </w:rPr>
        <w:t xml:space="preserve"> </w:t>
      </w:r>
      <w:r w:rsidR="00345941" w:rsidRPr="002B32CD">
        <w:rPr>
          <w:rFonts w:ascii="Times New Roman" w:hAnsi="Times New Roman" w:cs="Times New Roman"/>
          <w:sz w:val="24"/>
          <w:szCs w:val="24"/>
        </w:rPr>
        <w:t xml:space="preserve">по реализации своих полномочий, </w:t>
      </w:r>
      <w:proofErr w:type="gramStart"/>
      <w:r w:rsidR="00345941" w:rsidRPr="002B32CD">
        <w:rPr>
          <w:rFonts w:ascii="Times New Roman" w:hAnsi="Times New Roman" w:cs="Times New Roman"/>
          <w:sz w:val="24"/>
          <w:szCs w:val="24"/>
        </w:rPr>
        <w:t>определенных</w:t>
      </w:r>
      <w:proofErr w:type="gramEnd"/>
      <w:r w:rsidR="00345941" w:rsidRPr="002B32CD">
        <w:rPr>
          <w:rFonts w:ascii="Times New Roman" w:hAnsi="Times New Roman" w:cs="Times New Roman"/>
          <w:sz w:val="24"/>
          <w:szCs w:val="24"/>
        </w:rPr>
        <w:t xml:space="preserve"> Уставом Профсоюза.</w:t>
      </w:r>
    </w:p>
    <w:p w:rsidR="00345941" w:rsidRPr="002B32CD" w:rsidRDefault="002B32CD" w:rsidP="002B32CD">
      <w:pPr>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345941" w:rsidRPr="002B32CD">
        <w:rPr>
          <w:rFonts w:ascii="Times New Roman" w:hAnsi="Times New Roman" w:cs="Times New Roman"/>
          <w:sz w:val="24"/>
          <w:szCs w:val="24"/>
        </w:rPr>
        <w:t>В соответствии с пунктом 1 статьи 23 Устава Профсоюз</w:t>
      </w:r>
      <w:r w:rsidR="000A5E97" w:rsidRPr="002B32CD">
        <w:rPr>
          <w:rFonts w:ascii="Times New Roman" w:hAnsi="Times New Roman" w:cs="Times New Roman"/>
          <w:sz w:val="24"/>
          <w:szCs w:val="24"/>
        </w:rPr>
        <w:t>а в пе</w:t>
      </w:r>
      <w:r w:rsidRPr="002B32CD">
        <w:rPr>
          <w:rFonts w:ascii="Times New Roman" w:hAnsi="Times New Roman" w:cs="Times New Roman"/>
          <w:sz w:val="24"/>
          <w:szCs w:val="24"/>
        </w:rPr>
        <w:t xml:space="preserve">риод между </w:t>
      </w:r>
      <w:r w:rsidR="000A5E97" w:rsidRPr="002B32CD">
        <w:rPr>
          <w:rFonts w:ascii="Times New Roman" w:hAnsi="Times New Roman" w:cs="Times New Roman"/>
          <w:sz w:val="24"/>
          <w:szCs w:val="24"/>
        </w:rPr>
        <w:t>собраниями</w:t>
      </w:r>
      <w:r w:rsidR="000A5E97" w:rsidRPr="002B32CD">
        <w:rPr>
          <w:rFonts w:ascii="Times New Roman" w:hAnsi="Times New Roman" w:cs="Times New Roman"/>
          <w:sz w:val="24"/>
        </w:rPr>
        <w:t xml:space="preserve"> </w:t>
      </w:r>
      <w:r w:rsidR="00345941" w:rsidRPr="002B32CD">
        <w:rPr>
          <w:rFonts w:ascii="Times New Roman" w:hAnsi="Times New Roman" w:cs="Times New Roman"/>
          <w:sz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sidRPr="002B32CD">
        <w:rPr>
          <w:rFonts w:ascii="Times New Roman" w:hAnsi="Times New Roman" w:cs="Times New Roman"/>
          <w:sz w:val="24"/>
        </w:rPr>
        <w:t xml:space="preserve">рофсоюза, собраний </w:t>
      </w:r>
      <w:r w:rsidR="00345941" w:rsidRPr="002B32CD">
        <w:rPr>
          <w:rFonts w:ascii="Times New Roman" w:hAnsi="Times New Roman" w:cs="Times New Roman"/>
          <w:sz w:val="24"/>
        </w:rPr>
        <w:t xml:space="preserve"> первичной профсоюзной организации Профсоюза.</w:t>
      </w:r>
      <w:proofErr w:type="gramEnd"/>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6C78DB"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w:t>
      </w:r>
      <w:r w:rsidR="00943D50">
        <w:rPr>
          <w:rFonts w:ascii="Times New Roman" w:hAnsi="Times New Roman" w:cs="Times New Roman"/>
          <w:sz w:val="24"/>
          <w:szCs w:val="24"/>
        </w:rPr>
        <w:t xml:space="preserve"> </w:t>
      </w:r>
      <w:r w:rsidRPr="009C1D79">
        <w:rPr>
          <w:rFonts w:ascii="Times New Roman" w:hAnsi="Times New Roman" w:cs="Times New Roman"/>
          <w:sz w:val="24"/>
          <w:szCs w:val="24"/>
        </w:rPr>
        <w:t>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sz w:val="24"/>
          <w:szCs w:val="24"/>
        </w:rPr>
        <w:t>председателя первичной организации Профсоюзадо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6C78DB"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bookmarkStart w:id="0" w:name="_GoBack"/>
    </w:p>
    <w:bookmarkEnd w:id="0"/>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20E30A5"/>
    <w:multiLevelType w:val="multilevel"/>
    <w:tmpl w:val="C8527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4">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941"/>
    <w:rsid w:val="00091D0C"/>
    <w:rsid w:val="000A5E97"/>
    <w:rsid w:val="00143D12"/>
    <w:rsid w:val="00215009"/>
    <w:rsid w:val="00274F23"/>
    <w:rsid w:val="002B32CD"/>
    <w:rsid w:val="00345941"/>
    <w:rsid w:val="003F60FC"/>
    <w:rsid w:val="004B22FB"/>
    <w:rsid w:val="00507EED"/>
    <w:rsid w:val="00520F1C"/>
    <w:rsid w:val="00555890"/>
    <w:rsid w:val="005E62B2"/>
    <w:rsid w:val="006209A9"/>
    <w:rsid w:val="006C78DB"/>
    <w:rsid w:val="0075604D"/>
    <w:rsid w:val="007B7C76"/>
    <w:rsid w:val="007E024C"/>
    <w:rsid w:val="00867258"/>
    <w:rsid w:val="008B6C5E"/>
    <w:rsid w:val="008E1438"/>
    <w:rsid w:val="00917545"/>
    <w:rsid w:val="00943D50"/>
    <w:rsid w:val="00B15D6A"/>
    <w:rsid w:val="00BA3331"/>
    <w:rsid w:val="00C34D0A"/>
    <w:rsid w:val="00C439D2"/>
    <w:rsid w:val="00CA03CA"/>
    <w:rsid w:val="00CE51B7"/>
    <w:rsid w:val="00D60275"/>
    <w:rsid w:val="00D764CF"/>
    <w:rsid w:val="00DE1E06"/>
    <w:rsid w:val="00F1510A"/>
    <w:rsid w:val="00F446A8"/>
    <w:rsid w:val="00F65757"/>
    <w:rsid w:val="00FA45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obrprof</dc:creator>
  <cp:lastModifiedBy>Asus-PC</cp:lastModifiedBy>
  <cp:revision>7</cp:revision>
  <cp:lastPrinted>2021-09-14T07:51:00Z</cp:lastPrinted>
  <dcterms:created xsi:type="dcterms:W3CDTF">2021-11-09T12:44:00Z</dcterms:created>
  <dcterms:modified xsi:type="dcterms:W3CDTF">2021-11-09T13:06:00Z</dcterms:modified>
</cp:coreProperties>
</file>